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ED20" w14:textId="1FD120D4" w:rsidR="00FF212F" w:rsidRPr="00735F61" w:rsidRDefault="006E674A">
      <w:pPr>
        <w:rPr>
          <w:b/>
          <w:bCs/>
          <w:color w:val="3A7C22" w:themeColor="accent6" w:themeShade="BF"/>
          <w:sz w:val="40"/>
          <w:szCs w:val="40"/>
          <w:u w:val="single"/>
        </w:rPr>
      </w:pPr>
      <w:r w:rsidRPr="00735F61">
        <w:rPr>
          <w:b/>
          <w:bCs/>
          <w:noProof/>
          <w:color w:val="3A7C22" w:themeColor="accent6" w:themeShade="BF"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581B6181" wp14:editId="0A4975C6">
            <wp:simplePos x="0" y="0"/>
            <wp:positionH relativeFrom="column">
              <wp:posOffset>4615180</wp:posOffset>
            </wp:positionH>
            <wp:positionV relativeFrom="paragraph">
              <wp:posOffset>-594995</wp:posOffset>
            </wp:positionV>
            <wp:extent cx="1684655" cy="771525"/>
            <wp:effectExtent l="0" t="0" r="0" b="9525"/>
            <wp:wrapNone/>
            <wp:docPr id="2250868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F61">
        <w:rPr>
          <w:b/>
          <w:bCs/>
          <w:color w:val="3A7C22" w:themeColor="accent6" w:themeShade="BF"/>
          <w:sz w:val="40"/>
          <w:szCs w:val="40"/>
          <w:u w:val="single"/>
        </w:rPr>
        <w:t>Checklisten für Erzeugungsanlagen</w:t>
      </w:r>
    </w:p>
    <w:p w14:paraId="5D789BEB" w14:textId="77777777" w:rsidR="006E674A" w:rsidRPr="00735F61" w:rsidRDefault="006E674A">
      <w:pPr>
        <w:rPr>
          <w:color w:val="3A7C22" w:themeColor="accent6" w:themeShade="BF"/>
        </w:rPr>
      </w:pPr>
    </w:p>
    <w:p w14:paraId="34BE206C" w14:textId="6856B038" w:rsidR="006E674A" w:rsidRPr="00735F61" w:rsidRDefault="006E674A" w:rsidP="006E674A">
      <w:pPr>
        <w:pStyle w:val="Listenabsatz"/>
        <w:numPr>
          <w:ilvl w:val="0"/>
          <w:numId w:val="1"/>
        </w:numPr>
        <w:rPr>
          <w:b/>
          <w:bCs/>
          <w:color w:val="3A7C22" w:themeColor="accent6" w:themeShade="BF"/>
        </w:rPr>
      </w:pPr>
      <w:r w:rsidRPr="00735F61">
        <w:rPr>
          <w:b/>
          <w:bCs/>
          <w:color w:val="3A7C22" w:themeColor="accent6" w:themeShade="BF"/>
        </w:rPr>
        <w:t>Checkliste Anmeldung</w:t>
      </w:r>
    </w:p>
    <w:p w14:paraId="5918C38A" w14:textId="074B823D" w:rsidR="006E674A" w:rsidRPr="00735F61" w:rsidRDefault="006E674A" w:rsidP="006E674A">
      <w:pPr>
        <w:pStyle w:val="Listenabsatz"/>
        <w:rPr>
          <w:color w:val="3A7C22" w:themeColor="accent6" w:themeShade="BF"/>
          <w:sz w:val="20"/>
          <w:szCs w:val="20"/>
        </w:rPr>
      </w:pPr>
      <w:r w:rsidRPr="00735F61">
        <w:rPr>
          <w:color w:val="3A7C22" w:themeColor="accent6" w:themeShade="BF"/>
          <w:sz w:val="20"/>
          <w:szCs w:val="20"/>
        </w:rPr>
        <w:t>Für die vollständige Anmeldung Ihrer Stromerzeugungsanlage reichen Sie bitte die nachfolgenden Unterlagen ein:</w:t>
      </w:r>
    </w:p>
    <w:p w14:paraId="00FB9FE1" w14:textId="77777777" w:rsidR="006E674A" w:rsidRDefault="006E674A" w:rsidP="006E674A">
      <w:pPr>
        <w:pStyle w:val="Listenabsatz"/>
        <w:rPr>
          <w:sz w:val="20"/>
          <w:szCs w:val="20"/>
        </w:rPr>
      </w:pPr>
    </w:p>
    <w:p w14:paraId="53C12D41" w14:textId="163E46B5" w:rsidR="006E674A" w:rsidRPr="00735F61" w:rsidRDefault="006E674A" w:rsidP="006E674A">
      <w:pPr>
        <w:pStyle w:val="Listenabsatz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36"/>
          <w:szCs w:val="36"/>
        </w:rPr>
        <w:t>□</w:t>
      </w:r>
      <w:r w:rsidRPr="00735F61">
        <w:rPr>
          <w:rFonts w:ascii="Arial" w:hAnsi="Arial" w:cs="Arial"/>
          <w:color w:val="0F4761" w:themeColor="accent1" w:themeShade="BF"/>
          <w:sz w:val="20"/>
          <w:szCs w:val="20"/>
        </w:rPr>
        <w:tab/>
        <w:t>Datenblatt für Erzeugungsanlagen, ausgefüllt und unterschrieben</w:t>
      </w:r>
    </w:p>
    <w:p w14:paraId="007AD4A2" w14:textId="6BD6B93D" w:rsidR="006E674A" w:rsidRPr="00735F61" w:rsidRDefault="006E674A" w:rsidP="006E674A">
      <w:pPr>
        <w:pStyle w:val="Listenabsatz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Pr="00735F61">
        <w:rPr>
          <w:rFonts w:ascii="Arial" w:hAnsi="Arial" w:cs="Arial"/>
          <w:color w:val="0F4761" w:themeColor="accent1" w:themeShade="BF"/>
          <w:sz w:val="20"/>
          <w:szCs w:val="20"/>
        </w:rPr>
        <w:t>Anmeldung zum Netzanschluss</w:t>
      </w:r>
    </w:p>
    <w:p w14:paraId="700CAB9B" w14:textId="576E8255" w:rsidR="006E674A" w:rsidRPr="00735F61" w:rsidRDefault="006E674A" w:rsidP="008B34D5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Pr="00735F61">
        <w:rPr>
          <w:rFonts w:ascii="Arial" w:hAnsi="Arial" w:cs="Arial"/>
          <w:color w:val="0F4761" w:themeColor="accent1" w:themeShade="BF"/>
          <w:sz w:val="20"/>
          <w:szCs w:val="20"/>
        </w:rPr>
        <w:t>Normvordrucke E.1 und E.2 nach VDE-AR-N 4105:2018-11 (wenn P</w:t>
      </w:r>
      <w:r w:rsidRPr="00735F61">
        <w:rPr>
          <w:rFonts w:ascii="Arial" w:hAnsi="Arial" w:cs="Arial"/>
          <w:color w:val="0F4761" w:themeColor="accent1" w:themeShade="BF"/>
          <w:sz w:val="12"/>
          <w:szCs w:val="12"/>
        </w:rPr>
        <w:t>Amax</w:t>
      </w:r>
      <w:r w:rsidRPr="00735F61">
        <w:rPr>
          <w:rFonts w:ascii="Arial" w:hAnsi="Arial" w:cs="Arial"/>
          <w:color w:val="0F4761" w:themeColor="accent1" w:themeShade="BF"/>
          <w:sz w:val="20"/>
          <w:szCs w:val="20"/>
        </w:rPr>
        <w:t xml:space="preserve"> &lt; 135 kW, bei Stromspeichern ist zusätzlich E.3 einzureichen) bz</w:t>
      </w:r>
      <w:r w:rsidR="000D0219">
        <w:rPr>
          <w:rFonts w:ascii="Arial" w:hAnsi="Arial" w:cs="Arial"/>
          <w:color w:val="0F4761" w:themeColor="accent1" w:themeShade="BF"/>
          <w:sz w:val="20"/>
          <w:szCs w:val="20"/>
        </w:rPr>
        <w:t>w.</w:t>
      </w:r>
      <w:r w:rsidRPr="00735F61">
        <w:rPr>
          <w:rFonts w:ascii="Arial" w:hAnsi="Arial" w:cs="Arial"/>
          <w:color w:val="0F4761" w:themeColor="accent1" w:themeShade="BF"/>
          <w:sz w:val="20"/>
          <w:szCs w:val="20"/>
        </w:rPr>
        <w:t xml:space="preserve"> nach VDE-AR-N 4110:2018-11 (wenn P </w:t>
      </w:r>
      <w:proofErr w:type="gramStart"/>
      <w:r w:rsidRPr="00735F61">
        <w:rPr>
          <w:rFonts w:ascii="Arial" w:hAnsi="Arial" w:cs="Arial"/>
          <w:color w:val="0F4761" w:themeColor="accent1" w:themeShade="BF"/>
          <w:sz w:val="12"/>
          <w:szCs w:val="12"/>
        </w:rPr>
        <w:t>Amax</w:t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 xml:space="preserve">  </w:t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  <w:u w:val="single"/>
        </w:rPr>
        <w:t>&gt;</w:t>
      </w:r>
      <w:proofErr w:type="gramEnd"/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 xml:space="preserve"> 135 kW), die erforderlichen Vordrucke finden Sie auf unserer Website oder im Internet</w:t>
      </w:r>
    </w:p>
    <w:p w14:paraId="56D57340" w14:textId="753A892B" w:rsidR="006E674A" w:rsidRPr="00735F61" w:rsidRDefault="006E674A" w:rsidP="008B34D5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="008B34D5"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Eigentumsnachweis/Nutzungsvereinbarung für Grundstücke bzw. Flächen, ggf. Baugenehmigungen</w:t>
      </w:r>
    </w:p>
    <w:p w14:paraId="55B34460" w14:textId="25D9249A" w:rsidR="006E674A" w:rsidRPr="00735F61" w:rsidRDefault="006E674A" w:rsidP="008B34D5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="008B34D5"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Herstellerdatenblätter zu geplanten PV-Modulen und Wechselrichter bzw. Aggregaten und Generatoren, ggf. wenn geplant, des Batteriespeichers</w:t>
      </w:r>
    </w:p>
    <w:p w14:paraId="595306D1" w14:textId="3BAB0F15" w:rsidR="006E674A" w:rsidRPr="00735F61" w:rsidRDefault="006E674A" w:rsidP="008B34D5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="008B34D5"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elektr. Schaltbild vom Anschluss der Anlage an das Netz des Netzbetreibers mit Daten der installierten Betriebsmittel sowie Anordnung der Mess- und Schutzeinrichtungen und Anordnung der Zählerplätze</w:t>
      </w:r>
    </w:p>
    <w:p w14:paraId="61396800" w14:textId="04C07DEE" w:rsidR="006E674A" w:rsidRPr="00735F61" w:rsidRDefault="006E674A" w:rsidP="008B34D5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="008B34D5"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für jeden Wechselrichter und jeden Speicher: Einheiten</w:t>
      </w:r>
      <w:r w:rsidR="0095227D">
        <w:rPr>
          <w:rFonts w:ascii="Arial" w:hAnsi="Arial" w:cs="Arial"/>
          <w:color w:val="0F4761" w:themeColor="accent1" w:themeShade="BF"/>
          <w:sz w:val="20"/>
          <w:szCs w:val="20"/>
        </w:rPr>
        <w:t>z</w:t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ertifikat und Zertifikat für den Netz- und Anlagenschutz nach VDE-AR-N 4105:2018-11 bzw. wenn erforderlich nach 4110:2018-11</w:t>
      </w:r>
    </w:p>
    <w:p w14:paraId="7257AD4D" w14:textId="0525E584" w:rsidR="006E674A" w:rsidRPr="00735F61" w:rsidRDefault="006E674A" w:rsidP="008B34D5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="008B34D5"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Lageplan aus dem die Flurstücksnummer, die Flurstücksgrenzen sowie der Anlagenstandort hervorgehen</w:t>
      </w:r>
    </w:p>
    <w:p w14:paraId="28A052FE" w14:textId="49CDED74" w:rsidR="006E674A" w:rsidRPr="00735F61" w:rsidRDefault="006E674A" w:rsidP="008B34D5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="008B34D5"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Vollmacht zur Anmeldung beim Netzbetreiber, sofern der Anlagenbetreiber nicht selbst der Antragsteller ist</w:t>
      </w:r>
    </w:p>
    <w:p w14:paraId="299CA308" w14:textId="3F6E88BB" w:rsidR="006E674A" w:rsidRPr="00735F61" w:rsidRDefault="006E674A" w:rsidP="006E674A">
      <w:pPr>
        <w:pStyle w:val="Listenabsatz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735F61">
        <w:rPr>
          <w:rFonts w:ascii="Arial" w:hAnsi="Arial" w:cs="Arial"/>
          <w:color w:val="0F4761" w:themeColor="accent1" w:themeShade="BF"/>
          <w:sz w:val="40"/>
          <w:szCs w:val="40"/>
        </w:rPr>
        <w:t>□</w:t>
      </w:r>
      <w:r w:rsidR="008B34D5" w:rsidRP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8B34D5" w:rsidRPr="00C52510">
        <w:rPr>
          <w:rFonts w:ascii="Arial" w:hAnsi="Arial" w:cs="Arial"/>
          <w:sz w:val="20"/>
          <w:szCs w:val="20"/>
        </w:rPr>
        <w:t xml:space="preserve">Firmwarestand </w:t>
      </w:r>
      <w:r w:rsidR="008B34D5" w:rsidRPr="00735F61">
        <w:rPr>
          <w:rFonts w:ascii="Arial" w:hAnsi="Arial" w:cs="Arial"/>
          <w:color w:val="0F4761" w:themeColor="accent1" w:themeShade="BF"/>
          <w:sz w:val="20"/>
          <w:szCs w:val="20"/>
        </w:rPr>
        <w:t>Wechselrichter</w:t>
      </w:r>
      <w:r w:rsidR="00C52510">
        <w:rPr>
          <w:rFonts w:ascii="Arial" w:hAnsi="Arial" w:cs="Arial"/>
          <w:color w:val="0F4761" w:themeColor="accent1" w:themeShade="BF"/>
          <w:sz w:val="20"/>
          <w:szCs w:val="20"/>
        </w:rPr>
        <w:t xml:space="preserve"> ____________________________</w:t>
      </w:r>
    </w:p>
    <w:p w14:paraId="2405809E" w14:textId="77777777" w:rsidR="008B34D5" w:rsidRDefault="008B34D5" w:rsidP="006E674A">
      <w:pPr>
        <w:pStyle w:val="Listenabsatz"/>
        <w:rPr>
          <w:rFonts w:ascii="Arial" w:hAnsi="Arial" w:cs="Arial"/>
          <w:sz w:val="20"/>
          <w:szCs w:val="20"/>
        </w:rPr>
      </w:pPr>
    </w:p>
    <w:p w14:paraId="48340B43" w14:textId="5EA4DE44" w:rsidR="008B34D5" w:rsidRPr="00735F61" w:rsidRDefault="008B34D5" w:rsidP="008B34D5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3A7C22" w:themeColor="accent6" w:themeShade="BF"/>
        </w:rPr>
      </w:pPr>
      <w:r w:rsidRPr="00735F61">
        <w:rPr>
          <w:rFonts w:ascii="Arial" w:hAnsi="Arial" w:cs="Arial"/>
          <w:b/>
          <w:bCs/>
          <w:color w:val="3A7C22" w:themeColor="accent6" w:themeShade="BF"/>
        </w:rPr>
        <w:t>Checkliste Inbetriebnahme</w:t>
      </w:r>
    </w:p>
    <w:p w14:paraId="0690088E" w14:textId="14E1C7B1" w:rsidR="008B34D5" w:rsidRDefault="008B34D5" w:rsidP="008B34D5">
      <w:pPr>
        <w:pStyle w:val="Listenabsatz"/>
        <w:rPr>
          <w:rFonts w:ascii="Arial" w:hAnsi="Arial" w:cs="Arial"/>
          <w:color w:val="3A7C22" w:themeColor="accent6" w:themeShade="BF"/>
          <w:sz w:val="20"/>
          <w:szCs w:val="20"/>
        </w:rPr>
      </w:pPr>
      <w:r w:rsidRPr="00735F61">
        <w:rPr>
          <w:rFonts w:ascii="Arial" w:hAnsi="Arial" w:cs="Arial"/>
          <w:color w:val="3A7C22" w:themeColor="accent6" w:themeShade="BF"/>
          <w:sz w:val="20"/>
          <w:szCs w:val="20"/>
        </w:rPr>
        <w:t>Spätestens vor Abstimmung eines Termins zur netztechnischen Inbetriebnahme sind zusätzlich folgende Unterlagen einzureichen und technische Vorgaben umzusetzen:</w:t>
      </w:r>
    </w:p>
    <w:p w14:paraId="51AC58E6" w14:textId="77777777" w:rsidR="00735F61" w:rsidRPr="00735F61" w:rsidRDefault="00735F61" w:rsidP="008B34D5">
      <w:pPr>
        <w:pStyle w:val="Listenabsatz"/>
        <w:rPr>
          <w:rFonts w:ascii="Arial" w:hAnsi="Arial" w:cs="Arial"/>
          <w:color w:val="3A7C22" w:themeColor="accent6" w:themeShade="BF"/>
          <w:sz w:val="20"/>
          <w:szCs w:val="20"/>
        </w:rPr>
      </w:pPr>
    </w:p>
    <w:p w14:paraId="79272BB1" w14:textId="513AF58D" w:rsidR="006E674A" w:rsidRPr="00735F61" w:rsidRDefault="006E674A" w:rsidP="00735F61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6E674A">
        <w:rPr>
          <w:rFonts w:ascii="Arial" w:hAnsi="Arial" w:cs="Arial"/>
          <w:sz w:val="40"/>
          <w:szCs w:val="40"/>
        </w:rPr>
        <w:t>□</w:t>
      </w:r>
      <w:r w:rsidR="00735F61">
        <w:rPr>
          <w:rFonts w:ascii="Arial" w:hAnsi="Arial" w:cs="Arial"/>
          <w:color w:val="0F4761" w:themeColor="accent1" w:themeShade="BF"/>
          <w:sz w:val="40"/>
          <w:szCs w:val="40"/>
        </w:rPr>
        <w:tab/>
      </w:r>
      <w:r w:rsidR="00735F61" w:rsidRPr="00735F61">
        <w:rPr>
          <w:rFonts w:ascii="Arial" w:hAnsi="Arial" w:cs="Arial"/>
          <w:color w:val="0F4761" w:themeColor="accent1" w:themeShade="BF"/>
          <w:sz w:val="20"/>
          <w:szCs w:val="20"/>
        </w:rPr>
        <w:t>Inbetriebsetzungs-/Änderungsanzeige (Antrag zum Zähler), nach Fertigstellung vom zuständigen Elektrofachbetrieb für die durchgeführten Elektroinstallationen einzureichen</w:t>
      </w:r>
    </w:p>
    <w:p w14:paraId="6EC41192" w14:textId="67ABC2D1" w:rsidR="006E674A" w:rsidRPr="00735F61" w:rsidRDefault="006E674A" w:rsidP="00735F61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6E674A">
        <w:rPr>
          <w:rFonts w:ascii="Arial" w:hAnsi="Arial" w:cs="Arial"/>
          <w:sz w:val="40"/>
          <w:szCs w:val="40"/>
        </w:rPr>
        <w:t>□</w:t>
      </w:r>
      <w:r w:rsidR="00735F61">
        <w:rPr>
          <w:rFonts w:ascii="Arial" w:hAnsi="Arial" w:cs="Arial"/>
          <w:sz w:val="40"/>
          <w:szCs w:val="40"/>
        </w:rPr>
        <w:tab/>
      </w:r>
      <w:r w:rsidR="00735F61" w:rsidRPr="00735F61">
        <w:rPr>
          <w:rFonts w:ascii="Arial" w:hAnsi="Arial" w:cs="Arial"/>
          <w:color w:val="0F4761" w:themeColor="accent1" w:themeShade="BF"/>
          <w:sz w:val="20"/>
          <w:szCs w:val="20"/>
        </w:rPr>
        <w:t xml:space="preserve">Protokoll/Inbetriebnahmedokumentation des Anlagenerrichters als Bestätigung und Nachweis des Zeitpunktes der erstmaligen Inbetriebsetzung </w:t>
      </w:r>
    </w:p>
    <w:p w14:paraId="72E2FA02" w14:textId="43057E62" w:rsidR="006E674A" w:rsidRPr="00D36CE8" w:rsidRDefault="006E674A" w:rsidP="00D36CE8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6E674A">
        <w:rPr>
          <w:rFonts w:ascii="Arial" w:hAnsi="Arial" w:cs="Arial"/>
          <w:sz w:val="40"/>
          <w:szCs w:val="40"/>
        </w:rPr>
        <w:lastRenderedPageBreak/>
        <w:t>□</w:t>
      </w:r>
      <w:r w:rsidR="00D36CE8">
        <w:rPr>
          <w:rFonts w:ascii="Arial" w:hAnsi="Arial" w:cs="Arial"/>
          <w:sz w:val="40"/>
          <w:szCs w:val="40"/>
        </w:rPr>
        <w:tab/>
      </w:r>
      <w:r w:rsidR="00D36CE8" w:rsidRPr="00D36CE8">
        <w:rPr>
          <w:rFonts w:ascii="Arial" w:hAnsi="Arial" w:cs="Arial"/>
          <w:color w:val="0F4761" w:themeColor="accent1" w:themeShade="BF"/>
          <w:sz w:val="20"/>
          <w:szCs w:val="20"/>
        </w:rPr>
        <w:t>Einstellung der cos phi</w:t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>-</w:t>
      </w:r>
      <w:r w:rsidR="00D36CE8" w:rsidRPr="00D36CE8">
        <w:rPr>
          <w:rFonts w:ascii="Arial" w:hAnsi="Arial" w:cs="Arial"/>
          <w:color w:val="0F4761" w:themeColor="accent1" w:themeShade="BF"/>
          <w:sz w:val="20"/>
          <w:szCs w:val="20"/>
        </w:rPr>
        <w:t>Standard-Kennlinie ‚(Verschiebun</w:t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>g</w:t>
      </w:r>
      <w:r w:rsidR="00D36CE8" w:rsidRPr="00D36CE8">
        <w:rPr>
          <w:rFonts w:ascii="Arial" w:hAnsi="Arial" w:cs="Arial"/>
          <w:color w:val="0F4761" w:themeColor="accent1" w:themeShade="BF"/>
          <w:sz w:val="20"/>
          <w:szCs w:val="20"/>
        </w:rPr>
        <w:t>sfaktor-/Wirkleistungs</w:t>
      </w:r>
      <w:r w:rsidR="0095227D">
        <w:rPr>
          <w:rFonts w:ascii="Arial" w:hAnsi="Arial" w:cs="Arial"/>
          <w:color w:val="0F4761" w:themeColor="accent1" w:themeShade="BF"/>
          <w:sz w:val="20"/>
          <w:szCs w:val="20"/>
        </w:rPr>
        <w:t>-</w:t>
      </w:r>
      <w:r w:rsidR="00D36CE8" w:rsidRPr="00D36CE8">
        <w:rPr>
          <w:rFonts w:ascii="Arial" w:hAnsi="Arial" w:cs="Arial"/>
          <w:color w:val="0F4761" w:themeColor="accent1" w:themeShade="BF"/>
          <w:sz w:val="20"/>
          <w:szCs w:val="20"/>
        </w:rPr>
        <w:t xml:space="preserve">kennlinie </w:t>
      </w:r>
      <w:r w:rsidR="0095227D">
        <w:rPr>
          <w:rFonts w:ascii="Arial" w:hAnsi="Arial" w:cs="Arial"/>
          <w:color w:val="0F4761" w:themeColor="accent1" w:themeShade="BF"/>
          <w:sz w:val="20"/>
          <w:szCs w:val="20"/>
        </w:rPr>
        <w:t>c</w:t>
      </w:r>
      <w:r w:rsidR="00D36CE8" w:rsidRPr="00D36CE8">
        <w:rPr>
          <w:rFonts w:ascii="Arial" w:hAnsi="Arial" w:cs="Arial"/>
          <w:color w:val="0F4761" w:themeColor="accent1" w:themeShade="BF"/>
          <w:sz w:val="20"/>
          <w:szCs w:val="20"/>
        </w:rPr>
        <w:t>os p</w:t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>hi</w:t>
      </w:r>
      <w:r w:rsidR="00D36CE8" w:rsidRPr="00D36CE8">
        <w:rPr>
          <w:rFonts w:ascii="Arial" w:hAnsi="Arial" w:cs="Arial"/>
          <w:color w:val="0F4761" w:themeColor="accent1" w:themeShade="BF"/>
          <w:sz w:val="20"/>
          <w:szCs w:val="20"/>
        </w:rPr>
        <w:t>) im Wechselrichter für die geforderte Blindleistungsbereitstellung nach VDE-AR-N 4105:2018</w:t>
      </w:r>
    </w:p>
    <w:p w14:paraId="089E1531" w14:textId="0D527841" w:rsidR="006E674A" w:rsidRPr="00D36CE8" w:rsidRDefault="006E674A" w:rsidP="0095227D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6E674A">
        <w:rPr>
          <w:rFonts w:ascii="Arial" w:hAnsi="Arial" w:cs="Arial"/>
          <w:sz w:val="40"/>
          <w:szCs w:val="40"/>
        </w:rPr>
        <w:t>□</w:t>
      </w:r>
      <w:r w:rsidR="00D36CE8">
        <w:rPr>
          <w:rFonts w:ascii="Arial" w:hAnsi="Arial" w:cs="Arial"/>
          <w:sz w:val="40"/>
          <w:szCs w:val="40"/>
        </w:rPr>
        <w:tab/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>Umsetzung der erforderlichen technischen Vorgaben des aktuellen Erneuerbare-Energien-Gesetzes (Einstellung der Begrenzung am Netzverknüpfungspunkt</w:t>
      </w:r>
      <w:r w:rsidR="0095227D">
        <w:rPr>
          <w:rFonts w:ascii="Arial" w:hAnsi="Arial" w:cs="Arial"/>
          <w:color w:val="0F4761" w:themeColor="accent1" w:themeShade="BF"/>
          <w:sz w:val="20"/>
          <w:szCs w:val="20"/>
        </w:rPr>
        <w:t xml:space="preserve"> (bei Anlagen bis max. 25 kWp möglich)</w:t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 xml:space="preserve"> oder Vorverdrahtung zum Einbau einer Steuerbox</w:t>
      </w:r>
      <w:r w:rsidR="0095227D">
        <w:rPr>
          <w:rFonts w:ascii="Arial" w:hAnsi="Arial" w:cs="Arial"/>
          <w:color w:val="0F4761" w:themeColor="accent1" w:themeShade="BF"/>
          <w:sz w:val="20"/>
          <w:szCs w:val="20"/>
        </w:rPr>
        <w:t xml:space="preserve"> zur Leistungsregelung</w:t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 xml:space="preserve"> – wird durch die Stadtwerke bereitgestellt)</w:t>
      </w:r>
    </w:p>
    <w:p w14:paraId="339FB305" w14:textId="409E8358" w:rsidR="006E674A" w:rsidRDefault="006E674A" w:rsidP="0095227D">
      <w:pPr>
        <w:pStyle w:val="Listenabsatz"/>
        <w:ind w:left="1410" w:hanging="69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6E674A">
        <w:rPr>
          <w:rFonts w:ascii="Arial" w:hAnsi="Arial" w:cs="Arial"/>
          <w:sz w:val="40"/>
          <w:szCs w:val="40"/>
        </w:rPr>
        <w:t>□</w:t>
      </w:r>
      <w:r w:rsidR="00D36CE8">
        <w:rPr>
          <w:rFonts w:ascii="Arial" w:hAnsi="Arial" w:cs="Arial"/>
          <w:sz w:val="40"/>
          <w:szCs w:val="40"/>
        </w:rPr>
        <w:tab/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>die Erfüllung der Anforderungen des NA-Schutzes nach VDE-AR-N 4105:2018 ist durch die entsprechende Softwareversion und die Auswahl der korrekten Ländereinst</w:t>
      </w:r>
      <w:r w:rsidR="0095227D">
        <w:rPr>
          <w:rFonts w:ascii="Arial" w:hAnsi="Arial" w:cs="Arial"/>
          <w:color w:val="0F4761" w:themeColor="accent1" w:themeShade="BF"/>
          <w:sz w:val="20"/>
          <w:szCs w:val="20"/>
        </w:rPr>
        <w:t>e</w:t>
      </w:r>
      <w:r w:rsidR="00D36CE8">
        <w:rPr>
          <w:rFonts w:ascii="Arial" w:hAnsi="Arial" w:cs="Arial"/>
          <w:color w:val="0F4761" w:themeColor="accent1" w:themeShade="BF"/>
          <w:sz w:val="20"/>
          <w:szCs w:val="20"/>
        </w:rPr>
        <w:t>llung des Wechselrichters zu gewährleisten</w:t>
      </w:r>
    </w:p>
    <w:p w14:paraId="59826B92" w14:textId="77777777" w:rsidR="00D36CE8" w:rsidRDefault="00D36CE8" w:rsidP="006E674A">
      <w:pPr>
        <w:pStyle w:val="Listenabsatz"/>
        <w:rPr>
          <w:rFonts w:ascii="Arial" w:hAnsi="Arial" w:cs="Arial"/>
          <w:color w:val="0F4761" w:themeColor="accent1" w:themeShade="BF"/>
          <w:sz w:val="20"/>
          <w:szCs w:val="20"/>
        </w:rPr>
      </w:pPr>
    </w:p>
    <w:p w14:paraId="03F55C9B" w14:textId="77777777" w:rsidR="00D36CE8" w:rsidRDefault="00D36CE8" w:rsidP="006E674A">
      <w:pPr>
        <w:pStyle w:val="Listenabsatz"/>
        <w:rPr>
          <w:rFonts w:ascii="Arial" w:hAnsi="Arial" w:cs="Arial"/>
          <w:color w:val="0F4761" w:themeColor="accent1" w:themeShade="BF"/>
          <w:sz w:val="20"/>
          <w:szCs w:val="20"/>
        </w:rPr>
      </w:pPr>
    </w:p>
    <w:p w14:paraId="10A3A5D4" w14:textId="5527CE65" w:rsidR="006E674A" w:rsidRPr="0095227D" w:rsidRDefault="00D36CE8" w:rsidP="006E674A">
      <w:pPr>
        <w:pStyle w:val="Listenabsatz"/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</w:pPr>
      <w:r w:rsidRPr="0095227D"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>Wir weisen darauf hin, dass Erzeugungsanlagen innerhalb eines Monats nach der erstmaligen Inbetriebnahme beim Marktstammdatenregister der Bundesnetzagentur zu registrieren sind.</w:t>
      </w:r>
    </w:p>
    <w:p w14:paraId="0C2D4936" w14:textId="77777777" w:rsidR="006E674A" w:rsidRPr="006E674A" w:rsidRDefault="006E674A" w:rsidP="006E674A">
      <w:pPr>
        <w:pStyle w:val="Listenabsatz"/>
        <w:rPr>
          <w:sz w:val="20"/>
          <w:szCs w:val="20"/>
        </w:rPr>
      </w:pPr>
    </w:p>
    <w:sectPr w:rsidR="006E674A" w:rsidRPr="006E67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57861"/>
    <w:multiLevelType w:val="hybridMultilevel"/>
    <w:tmpl w:val="720ED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27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4A"/>
    <w:rsid w:val="00020187"/>
    <w:rsid w:val="000D0219"/>
    <w:rsid w:val="006C32A1"/>
    <w:rsid w:val="006E674A"/>
    <w:rsid w:val="00735F61"/>
    <w:rsid w:val="008B34D5"/>
    <w:rsid w:val="0095227D"/>
    <w:rsid w:val="00B56AA8"/>
    <w:rsid w:val="00C52510"/>
    <w:rsid w:val="00D36CE8"/>
    <w:rsid w:val="00D644D9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1680"/>
  <w15:chartTrackingRefBased/>
  <w15:docId w15:val="{BE635EEF-2813-4C2C-9EC4-657BC0F6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67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67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67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67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67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67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67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67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67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7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6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Fritzsche, Mary</dc:creator>
  <cp:keywords/>
  <dc:description/>
  <cp:lastModifiedBy>Fritzsche, Mary</cp:lastModifiedBy>
  <cp:revision>3</cp:revision>
  <dcterms:created xsi:type="dcterms:W3CDTF">2025-03-19T13:29:00Z</dcterms:created>
  <dcterms:modified xsi:type="dcterms:W3CDTF">2025-04-01T07:34:00Z</dcterms:modified>
</cp:coreProperties>
</file>